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>«Приложение № 2</w:t>
      </w:r>
    </w:p>
    <w:p>
      <w:pPr>
        <w:pStyle w:val="Normal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 xml:space="preserve">к муниципальной программе Тугулымского муниципального округа </w:t>
      </w:r>
    </w:p>
    <w:p>
      <w:pPr>
        <w:pStyle w:val="Normal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 xml:space="preserve">«Дополнительные меры социальной поддержки населения </w:t>
      </w:r>
    </w:p>
    <w:p>
      <w:pPr>
        <w:pStyle w:val="Normal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 xml:space="preserve">Тугулымского муниципального округа до 2028 года» </w:t>
      </w:r>
    </w:p>
    <w:p>
      <w:pPr>
        <w:pStyle w:val="Normal"/>
        <w:suppressAutoHyphens w:val="true"/>
        <w:spacing w:lineRule="auto" w:line="240" w:before="0" w:after="0"/>
        <w:jc w:val="both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</w:r>
    </w:p>
    <w:p>
      <w:pPr>
        <w:pStyle w:val="Normal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>ПЛАН МЕРОПРИЯТИЙ</w:t>
      </w:r>
    </w:p>
    <w:p>
      <w:pPr>
        <w:pStyle w:val="Normal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>ПО ВЫПОЛНЕНИЮ МУНИЦИПАЛЬНОЙ ПРОГРАММЫ ТУГУЛЫМСКОГО МУНИЦИПАЛЬНОГО ОКРУГА</w:t>
      </w:r>
    </w:p>
    <w:p>
      <w:pPr>
        <w:pStyle w:val="Normal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>«ДОПОЛНИТЕЛЬНЫЕ МЕРЫ СОЦИАЛЬНОЙ ПОДДЕРЖКИ НАСЕЛЕНИЯ ТУГУЛЫМСКОГО МУНИЦИПАЛЬНОГО ОКРУГА</w:t>
      </w:r>
    </w:p>
    <w:p>
      <w:pPr>
        <w:pStyle w:val="Normal"/>
        <w:suppressAutoHyphens w:val="true"/>
        <w:spacing w:lineRule="auto" w:line="240" w:before="0" w:after="0"/>
        <w:jc w:val="center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>ДО 2028 ГОДА»</w:t>
      </w:r>
    </w:p>
    <w:p>
      <w:pPr>
        <w:pStyle w:val="Normal"/>
        <w:suppressAutoHyphens w:val="true"/>
        <w:spacing w:lineRule="auto" w:line="240" w:before="0" w:after="0"/>
        <w:jc w:val="both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</w:r>
    </w:p>
    <w:tbl>
      <w:tblPr>
        <w:tblW w:w="15101" w:type="dxa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4a0" w:noHBand="0" w:noVBand="1" w:firstColumn="1" w:lastRow="0" w:lastColumn="0" w:firstRow="1"/>
      </w:tblPr>
      <w:tblGrid>
        <w:gridCol w:w="934"/>
        <w:gridCol w:w="3140"/>
        <w:gridCol w:w="1007"/>
        <w:gridCol w:w="1010"/>
        <w:gridCol w:w="1009"/>
        <w:gridCol w:w="1007"/>
        <w:gridCol w:w="1009"/>
        <w:gridCol w:w="1010"/>
        <w:gridCol w:w="1009"/>
        <w:gridCol w:w="1104"/>
        <w:gridCol w:w="30"/>
        <w:gridCol w:w="2832"/>
      </w:tblGrid>
      <w:tr>
        <w:trPr/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 xml:space="preserve">N   </w:t>
              <w:br/>
              <w:t>строки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Наименование мероприятия/</w:t>
              <w:br/>
              <w:t xml:space="preserve">   Источники расходов    </w:t>
              <w:br/>
              <w:t xml:space="preserve">    на финансирование</w:t>
            </w:r>
          </w:p>
        </w:tc>
        <w:tc>
          <w:tcPr>
            <w:tcW w:w="8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 xml:space="preserve">Объем расходов на выполнение мероприятия за счет     </w:t>
              <w:br/>
              <w:t xml:space="preserve">   всех источников ресурсного обеспечения, тыс. рублей</w:t>
            </w:r>
          </w:p>
        </w:tc>
        <w:tc>
          <w:tcPr>
            <w:tcW w:w="28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 xml:space="preserve">Номер строки </w:t>
              <w:br/>
              <w:t xml:space="preserve">   целевых   </w:t>
              <w:br/>
              <w:t xml:space="preserve">показателей, </w:t>
              <w:br/>
              <w:t>на достижение</w:t>
              <w:br/>
              <w:t xml:space="preserve">   которых   </w:t>
              <w:br/>
              <w:t xml:space="preserve"> направлены  </w:t>
              <w:br/>
              <w:t xml:space="preserve"> мероприятия</w:t>
            </w:r>
          </w:p>
        </w:tc>
      </w:tr>
      <w:tr>
        <w:trPr/>
        <w:tc>
          <w:tcPr>
            <w:tcW w:w="93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2028</w:t>
            </w:r>
          </w:p>
        </w:tc>
        <w:tc>
          <w:tcPr>
            <w:tcW w:w="286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11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ВСЕГО ПО МУНИЦИПАЛЬНОЙ</w:t>
              <w:br/>
              <w:t>ПРОГРАММЕ, В ТОМ ЧИСЛЕ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5060,0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544,0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723,0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582,0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614,0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1039,0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5060,0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723,0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614,0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1039,0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>
          <w:trHeight w:val="167" w:hRule="atLeast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Капитальные вложения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Научно-исследовательские и опытно-конструкторские работы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Прочие нужды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5060,0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723,0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614,0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1039,0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5060,0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544,0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723,0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582,0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614,0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1039,0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416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1. Капитальные вложения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454" w:left="737" w:right="0"/>
              <w:contextualSpacing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Всего по направлению «капитальные вложения», в том числе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416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2. Научно-исследовательские и опытно-конструкторские работы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Всего по направлению «научно-исследовательские и опытно-конструкторские работы», в том числе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14167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3.  Прочие нужды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Всего по направлению «Прочие нужды», в том числе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5060,0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544,0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723,0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582,0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614,0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1039,0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779,0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5060,0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544,0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723,0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582,0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614,0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1039,0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722,0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722,0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Мероприятие 1.</w:t>
            </w:r>
          </w:p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Оказание материальной помощи и компенсация расходов отдельным категориям граждан, в том числе кредиторская задолженность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3237,0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276,0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480,0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420,0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444,0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539,0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539,0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539,0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4,5,7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областной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3237,0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276,0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480,0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420,0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444,0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539,0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539,0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539,0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1.1. Оказание экстренной  материальной адресной  помощи  гражданам, оказавшимся в трудной жизненной ситуации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1303,0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204,0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131,0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246,0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4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1303,0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204,0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131,0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246,0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226,0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1.2.Оказание материальной помощи на ремонт квартир инвалидам ВОВ, участникам ВОВ, не имеющим дополнительных мер социальной поддержки по постановлению Правительства Свердловской области от 12.07.2011г № 909-ПП и одиноко проживающим труженикам тыла, вдовам участников, инвалидов ВОВ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5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1.3.Компенсация расходов по доставке граждан допризывного, призывного возраста в Отдел военного комиссариата Свердловской области для прохождения призывной комиссии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7</w:t>
            </w:r>
          </w:p>
        </w:tc>
      </w:tr>
      <w:tr>
        <w:trPr>
          <w:trHeight w:val="439" w:hRule="atLeast"/>
        </w:trPr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1.4.выплата почетным гражданам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1934,0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280,0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216,0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313,0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293,0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313,0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313,0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7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1934,0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206,0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280,0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216,0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313,0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293,0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313,0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313,0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Мероприятие 2.</w:t>
            </w:r>
          </w:p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Социальная поддержка общественных организаций.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1635,0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180,0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143,0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162,0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240,0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240,0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8,9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1635,0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180,0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143,0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162,0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240,0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240,0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Мероприятие 3.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 xml:space="preserve"> Дополнительные меры</w:t>
            </w:r>
          </w:p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социальной поддержки для работников муниципальных учреждений: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6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3.1. Приобретение квартиры для работников муниципальных учреждений культуры, образования, сферы ЖКХ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6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Мероприятие 4.</w:t>
            </w:r>
          </w:p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Проведение социально-значимых мероприятий.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188,0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88,0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 xml:space="preserve">                                  </w:t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188,0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88,0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4.1. Приобретение подарков для поздравления с юбилеями ветеранов ВОВ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4.2. Рождественская елка для детей СРЦН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4.3. Декада Белой трости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>
          <w:trHeight w:val="900" w:hRule="atLeast"/>
        </w:trPr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4.4. Организация и проведение новогодних мероприятий для детей мобилизованных граждан, а также для детей, попавших в трудную жизненную ситуацию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138,0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88,0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138,0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88,0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4.5. Организация благотворительных акций во Всероссийскую Неделю Добра, День защиты детей, День знаний, Дней милосердия.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4.6. Приобретение СИЗ для проведения социально значимых мероприятий и (или) организации деятельности волонтеров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x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4.7. Юбилейная дата со дня создания районной ветеранской организации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</w:tr>
      <w:tr>
        <w:trPr>
          <w:trHeight w:val="534" w:hRule="atLeast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Мероприятие 5. Обеспечение беспрепятственного доступа инвалидов к объектам муниципальной собственности (изготовление и приобретение знаков, табличек, надписей)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Строка 8</w:t>
            </w:r>
          </w:p>
        </w:tc>
      </w:tr>
      <w:tr>
        <w:trPr/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textAlignment w:val="baseline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textAlignment w:val="baseline"/>
              <w:rPr>
                <w:rFonts w:ascii="Liberation Serif" w:hAnsi="Liberation Serif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zh-CN"/>
              </w:rPr>
              <w:t>Х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  <w:t>».</w:t>
      </w:r>
    </w:p>
    <w:p>
      <w:pPr>
        <w:pStyle w:val="Normal"/>
        <w:suppressAutoHyphens w:val="true"/>
        <w:spacing w:lineRule="auto" w:line="240" w:before="0" w:after="0"/>
        <w:jc w:val="right"/>
        <w:textAlignment w:val="baseline"/>
        <w:rPr>
          <w:rFonts w:ascii="Liberation Serif" w:hAnsi="Liberation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zh-CN"/>
        </w:rPr>
      </w:r>
    </w:p>
    <w:sectPr>
      <w:type w:val="nextPage"/>
      <w:pgSz w:orient="landscape" w:w="16838" w:h="11906"/>
      <w:pgMar w:left="1134" w:right="674" w:gutter="0" w:header="0" w:top="90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44546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642ba3"/>
    <w:rPr/>
  </w:style>
  <w:style w:type="character" w:styleId="Style15" w:customStyle="1">
    <w:name w:val="Нижний колонтитул Знак"/>
    <w:basedOn w:val="DefaultParagraphFont"/>
    <w:uiPriority w:val="99"/>
    <w:qFormat/>
    <w:rsid w:val="00642ba3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642ba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642ba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642ba3"/>
    <w:pPr>
      <w:spacing w:before="0" w:after="160"/>
      <w:ind w:left="720"/>
      <w:contextualSpacing/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2D245-975E-4B16-8854-5412CE83C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LibreOffice/25.8.4.2$Linux_X86_64 LibreOffice_project/290daaa01b999472f0c7a3890eb6a550fd74c6df</Application>
  <AppVersion>15.0000</AppVersion>
  <Pages>5</Pages>
  <Words>928</Words>
  <Characters>4712</Characters>
  <CharactersWithSpaces>5121</CharactersWithSpaces>
  <Paragraphs>600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2026-01-21T12:17:00Z</dcterms:created>
  <dc:creator>Ольга Шилкова</dc:creator>
  <dc:description/>
  <dc:language>ru-RU</dc:language>
  <cp:lastModifiedBy/>
  <cp:lastPrinted>2026-03-16T08:45:39Z</cp:lastPrinted>
  <dcterms:modified xsi:type="dcterms:W3CDTF">2026-03-16T08:57:51Z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